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color w:val="1A9C9C"/>
          <w:sz w:val="28"/>
        </w:rPr>
        <w:t>EL PROFE NICO | NELHUA</w:t>
      </w:r>
    </w:p>
    <w:p>
      <w:pPr>
        <w:pStyle w:val="NELHUATitle"/>
        <w:jc w:val="center"/>
      </w:pPr>
      <w:r>
        <w:t>Planeación de una actividad:</w:t>
        <w:br/>
        <w:t>antes y después de revisarla con enfoque DUA</w:t>
      </w:r>
    </w:p>
    <w:p>
      <w:pPr>
        <w:jc w:val="center"/>
      </w:pPr>
      <w:r>
        <w:rPr>
          <w:rFonts w:ascii="Aptos" w:hAnsi="Aptos"/>
          <w:b w:val="0"/>
          <w:color w:val="0B4A6F"/>
          <w:sz w:val="26"/>
        </w:rPr>
        <w:t>Ejemplo editable para educación preescolar · Fase 2 · Campo formativo Lenguajes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94"/>
      </w:tblGrid>
      <w:tr>
        <w:trPr>
          <w:cantSplit/>
        </w:trPr>
        <w:tc>
          <w:tcPr>
            <w:tcW w:type="dxa" w:w="15394"/>
            <w:shd w:fill="E8F7F5"/>
            <w:tcBorders>
              <w:top w:val="single" w:sz="8" w:color="1A9C9C"/>
              <w:left w:val="single" w:sz="8" w:color="1A9C9C"/>
              <w:bottom w:val="single" w:sz="8" w:color="1A9C9C"/>
              <w:right w:val="single" w:sz="8" w:color="1A9C9C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F2D3D"/>
                <w:sz w:val="24"/>
              </w:rPr>
              <w:t>Este archivo es editable. Puedes sustituir los datos del ejemplo, modificar tiempos, recursos, evidencias y criterios según tu contexto.</w:t>
            </w:r>
          </w:p>
        </w:tc>
      </w:tr>
    </w:tbl>
    <w:p/>
    <w:p>
      <w:pPr>
        <w:jc w:val="center"/>
      </w:pPr>
      <w:r>
        <w:rPr>
          <w:rFonts w:ascii="Aptos" w:hAnsi="Aptos"/>
          <w:b/>
          <w:color w:val="0B4A6F"/>
          <w:sz w:val="32"/>
        </w:rPr>
        <w:t>Ejemplo: “Comprendemos el cuento Luna y la caja de colores”</w:t>
      </w:r>
    </w:p>
    <w:p>
      <w:pPr>
        <w:jc w:val="center"/>
      </w:pPr>
      <w:r>
        <w:rPr>
          <w:rFonts w:ascii="Aptos" w:hAnsi="Aptos"/>
          <w:b w:val="0"/>
          <w:color w:val="5B6870"/>
          <w:sz w:val="22"/>
        </w:rPr>
        <w:t>Material de orientación docente. No constituye un formato único u obligatorio de planeación.</w:t>
      </w:r>
    </w:p>
    <w:p>
      <w:r>
        <w:br w:type="page"/>
      </w:r>
    </w:p>
    <w:p>
      <w:pPr>
        <w:pStyle w:val="NELHUAH1"/>
      </w:pPr>
      <w:r>
        <w:t>Carta descriptiva 1. Planeación inicial de una actividad</w:t>
      </w:r>
    </w:p>
    <w:p>
      <w:r>
        <w:rPr>
          <w:rFonts w:ascii="Aptos" w:hAnsi="Aptos"/>
          <w:b/>
          <w:color w:val="0B4A6F"/>
          <w:sz w:val="22"/>
        </w:rPr>
        <w:t xml:space="preserve">Nota: </w:t>
      </w:r>
      <w:r>
        <w:rPr>
          <w:rFonts w:ascii="Aptos" w:hAnsi="Aptos"/>
          <w:b w:val="0"/>
          <w:sz w:val="22"/>
        </w:rPr>
        <w:t>Este ejemplo presenta la planeación de una sola actividad con fines didácticos. Una planeación completa puede integrar varias actividades, momentos, contenidos y evidencias de aprendizaje.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Título de la actividad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Comprendemos el cuento Luna y la caja de colores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Nivel educativo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Educación preescolar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Grado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2.º de preescolar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Fase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Fase 2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Campo formativo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Lenguajes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Contenido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Narración de historias mediante diversos lenguajes, en un ambiente donde niñas y niños participen y se apropien de la cultura, a través de diferentes textos.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PDA relacionado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Lectura con apoyo y narración con secuencia lógica de textos literarios, recurriendo también a distintos lenguajes.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Propósito general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Que las niñas y los niños comprendan y reconstruyan la secuencia básica de un cuento, identificando personajes, una situación o problema relevante y la manera en que concluye la historia.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Duración estimada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30 minutos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Organización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Trabajo con el grupo completo y actividad individual al cierre.</w:t>
            </w:r>
          </w:p>
        </w:tc>
      </w:tr>
    </w:tbl>
    <w:p>
      <w:pPr>
        <w:pStyle w:val="NELHUAH2"/>
      </w:pPr>
      <w:r>
        <w:t>Objetivos específicos</w:t>
      </w:r>
    </w:p>
    <w:p>
      <w:pPr>
        <w:pStyle w:val="ListBullet"/>
      </w:pPr>
      <w:r>
        <w:rPr>
          <w:rFonts w:ascii="Aptos" w:hAnsi="Aptos"/>
          <w:b w:val="0"/>
          <w:sz w:val="22"/>
        </w:rPr>
        <w:t>Identificar algunos personajes del cuento.</w:t>
      </w:r>
    </w:p>
    <w:p>
      <w:pPr>
        <w:pStyle w:val="ListBullet"/>
      </w:pPr>
      <w:r>
        <w:rPr>
          <w:rFonts w:ascii="Aptos" w:hAnsi="Aptos"/>
          <w:b w:val="0"/>
          <w:sz w:val="22"/>
        </w:rPr>
        <w:t>Reconocer la situación o problema principal.</w:t>
      </w:r>
    </w:p>
    <w:p>
      <w:pPr>
        <w:pStyle w:val="ListBullet"/>
      </w:pPr>
      <w:r>
        <w:rPr>
          <w:rFonts w:ascii="Aptos" w:hAnsi="Aptos"/>
          <w:b w:val="0"/>
          <w:sz w:val="22"/>
        </w:rPr>
        <w:t>Reconocer cómo termina la historia.</w:t>
      </w:r>
    </w:p>
    <w:p>
      <w:pPr>
        <w:pStyle w:val="ListBullet"/>
      </w:pPr>
      <w:r>
        <w:rPr>
          <w:rFonts w:ascii="Aptos" w:hAnsi="Aptos"/>
          <w:b w:val="0"/>
          <w:sz w:val="22"/>
        </w:rPr>
        <w:t>Comunicar lo comprendido sobre la narración.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79"/>
        <w:gridCol w:w="3079"/>
        <w:gridCol w:w="3079"/>
        <w:gridCol w:w="3079"/>
        <w:gridCol w:w="3079"/>
      </w:tblGrid>
      <w:tr>
        <w:trPr>
          <w:cantSplit/>
        </w:trPr>
        <w:tc>
          <w:tcPr>
            <w:tcW w:type="dxa" w:w="3079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Momento</w:t>
            </w:r>
          </w:p>
        </w:tc>
        <w:tc>
          <w:tcPr>
            <w:tcW w:type="dxa" w:w="3079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Actividades de enseñanza y aprendizaje</w:t>
            </w:r>
          </w:p>
        </w:tc>
        <w:tc>
          <w:tcPr>
            <w:tcW w:type="dxa" w:w="3079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Recursos</w:t>
            </w:r>
          </w:p>
        </w:tc>
        <w:tc>
          <w:tcPr>
            <w:tcW w:type="dxa" w:w="3079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Tiempo</w:t>
            </w:r>
          </w:p>
        </w:tc>
        <w:tc>
          <w:tcPr>
            <w:tcW w:type="dxa" w:w="3079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Evidencia de aprendizaje</w:t>
            </w:r>
          </w:p>
        </w:tc>
      </w:tr>
      <w:tr>
        <w:trPr>
          <w:cantSplit/>
        </w:trPr>
        <w:tc>
          <w:tcPr>
            <w:tcW w:type="dxa" w:w="3079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21"/>
              </w:rPr>
              <w:t>Inicio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La docente presenta el cuento. Explica oralmente que escucharán una historia y que al finalizar responderán preguntas sobre personajes, problema y final. Solicita atención durante la lectura.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Cuento Luna y la caja de colores.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5 min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Atención y participación durante la presentación.</w:t>
            </w:r>
          </w:p>
        </w:tc>
      </w:tr>
      <w:tr>
        <w:trPr>
          <w:cantSplit/>
        </w:trPr>
        <w:tc>
          <w:tcPr>
            <w:tcW w:type="dxa" w:w="3079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21"/>
              </w:rPr>
              <w:t>Desarrollo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La docente lee el cuento en voz alta. Al terminar formula oralmente: ¿Quiénes aparecen? ¿Qué problema tuvo Luna? ¿Cómo se resolvió? ¿Cómo termina? Algunas niñas y niños responden frente al grupo.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Cuento.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15 min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Respuestas orales relacionadas con personajes, problema y final.</w:t>
            </w:r>
          </w:p>
        </w:tc>
      </w:tr>
      <w:tr>
        <w:trPr>
          <w:cantSplit/>
        </w:trPr>
        <w:tc>
          <w:tcPr>
            <w:tcW w:type="dxa" w:w="3079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21"/>
              </w:rPr>
              <w:t>Cierre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Cada estudiante responde individualmente en su cuaderno o en una hoja de trabajo preguntas sobre personajes, problema y final. Puede complementar con dibujos.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Cuaderno u hoja de trabajo, lápiz y colores.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10 min</w:t>
            </w:r>
          </w:p>
        </w:tc>
        <w:tc>
          <w:tcPr>
            <w:tcW w:type="dxa" w:w="3079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21"/>
              </w:rPr>
              <w:t>Respuestas escritas y/o gráficas sobre los elementos principales de la historia.</w:t>
            </w:r>
          </w:p>
        </w:tc>
      </w:tr>
    </w:tbl>
    <w:p>
      <w:pPr>
        <w:pStyle w:val="NELHUAH2"/>
      </w:pPr>
      <w:r>
        <w:t>Evaluación</w:t>
      </w:r>
    </w:p>
    <w:p>
      <w:r>
        <w:rPr>
          <w:rFonts w:ascii="Aptos" w:hAnsi="Aptos"/>
          <w:b/>
          <w:color w:val="0B4A6F"/>
          <w:sz w:val="22"/>
        </w:rPr>
        <w:t xml:space="preserve">Criterios de observación: </w:t>
      </w:r>
      <w:r>
        <w:rPr>
          <w:rFonts w:ascii="Aptos" w:hAnsi="Aptos"/>
          <w:b w:val="0"/>
          <w:sz w:val="22"/>
        </w:rPr>
        <w:t>identifica al menos un personaje; reconoce la situación o problema principal; reconoce o comunica cómo concluye el cuento.</w:t>
      </w:r>
    </w:p>
    <w:p>
      <w:r>
        <w:rPr>
          <w:rFonts w:ascii="Aptos" w:hAnsi="Aptos"/>
          <w:b/>
          <w:color w:val="0B4A6F"/>
          <w:sz w:val="22"/>
        </w:rPr>
        <w:t xml:space="preserve">Instrumento sugerido: </w:t>
      </w:r>
      <w:r>
        <w:rPr>
          <w:rFonts w:ascii="Aptos" w:hAnsi="Aptos"/>
          <w:b w:val="0"/>
          <w:sz w:val="22"/>
        </w:rPr>
        <w:t>lista de cotejo o registro breve de observación.</w:t>
      </w:r>
    </w:p>
    <w:p>
      <w:pPr>
        <w:pStyle w:val="NELHUAH2"/>
      </w:pPr>
      <w:r>
        <w:t>Posibles barreras que podrían aparecer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94"/>
      </w:tblGrid>
      <w:tr>
        <w:trPr>
          <w:cantSplit/>
        </w:trPr>
        <w:tc>
          <w:tcPr>
            <w:tcW w:type="dxa" w:w="15394"/>
            <w:shd w:fill="FFF7E5"/>
            <w:tcBorders>
              <w:left w:val="single" w:sz="16" w:color="F2B94B"/>
            </w:tcBorders>
          </w:tcPr>
          <w:p>
            <w:r>
              <w:rPr>
                <w:rFonts w:ascii="Aptos" w:hAnsi="Aptos"/>
                <w:b w:val="0"/>
                <w:sz w:val="21"/>
              </w:rPr>
              <w:t>• La explicación de lo que debe hacerse se ofrece principalmente de manera oral.</w:t>
            </w:r>
          </w:p>
          <w:p>
            <w:r>
              <w:rPr>
                <w:rFonts w:ascii="Aptos" w:hAnsi="Aptos"/>
                <w:b w:val="0"/>
                <w:sz w:val="21"/>
              </w:rPr>
              <w:t>• La información importante del cuento depende en gran medida de escuchar y recordar.</w:t>
            </w:r>
          </w:p>
          <w:p>
            <w:r>
              <w:rPr>
                <w:rFonts w:ascii="Aptos" w:hAnsi="Aptos"/>
                <w:b w:val="0"/>
                <w:sz w:val="21"/>
              </w:rPr>
              <w:t>• Las preguntas dejan de estar disponibles después de formularse oralmente.</w:t>
            </w:r>
          </w:p>
          <w:p>
            <w:r>
              <w:rPr>
                <w:rFonts w:ascii="Aptos" w:hAnsi="Aptos"/>
                <w:b w:val="0"/>
                <w:sz w:val="21"/>
              </w:rPr>
              <w:t>• La participación grupal privilegia la respuesta oral.</w:t>
            </w:r>
          </w:p>
          <w:p>
            <w:r>
              <w:rPr>
                <w:rFonts w:ascii="Aptos" w:hAnsi="Aptos"/>
                <w:b w:val="0"/>
                <w:sz w:val="21"/>
              </w:rPr>
              <w:t>• En el cierre predomina una forma particular de demostrar la comprensión.</w:t>
            </w:r>
          </w:p>
          <w:p>
            <w:r>
              <w:rPr>
                <w:rFonts w:ascii="Aptos" w:hAnsi="Aptos"/>
                <w:b w:val="0"/>
                <w:sz w:val="21"/>
              </w:rPr>
              <w:t>• La secuencia de la actividad no permanece visible.</w:t>
            </w:r>
          </w:p>
          <w:p>
            <w:r>
              <w:rPr>
                <w:rFonts w:ascii="Aptos" w:hAnsi="Aptos"/>
                <w:b/>
                <w:color w:val="0B4A6F"/>
                <w:sz w:val="21"/>
              </w:rPr>
              <w:t xml:space="preserve">Importante: </w:t>
            </w:r>
            <w:r>
              <w:rPr>
                <w:rFonts w:ascii="Aptos" w:hAnsi="Aptos"/>
                <w:b w:val="0"/>
                <w:sz w:val="21"/>
              </w:rPr>
              <w:t>Esto no significa que la planeación esté “mal”. La intención es identificar dónde podrían aparecer barreras antes de decidir qué aspectos conviene modificar.</w:t>
            </w:r>
          </w:p>
        </w:tc>
      </w:tr>
    </w:tbl>
    <w:p>
      <w:r>
        <w:br w:type="page"/>
      </w:r>
    </w:p>
    <w:p>
      <w:pPr>
        <w:pStyle w:val="NELHUAH1"/>
      </w:pPr>
      <w:r>
        <w:t>Carta descriptiva 2. Planeación revisada con enfoque DUA</w:t>
      </w:r>
    </w:p>
    <w:p>
      <w:r>
        <w:rPr>
          <w:rFonts w:ascii="Aptos" w:hAnsi="Aptos"/>
          <w:b/>
          <w:color w:val="0B4A6F"/>
          <w:sz w:val="22"/>
        </w:rPr>
        <w:t xml:space="preserve">Nota: </w:t>
      </w:r>
      <w:r>
        <w:rPr>
          <w:rFonts w:ascii="Aptos" w:hAnsi="Aptos"/>
          <w:b w:val="0"/>
          <w:sz w:val="22"/>
        </w:rPr>
        <w:t>Se conserva el mismo propósito curricular de la actividad. La revisión se centra en anticipar barreras y ampliar opciones de acceso, participación y expresión.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Título de la actividad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Comprendemos el cuento Luna y la caja de colores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Nivel educativo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Educación preescolar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Grado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2.º de preescolar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Fase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Fase 2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Campo formativo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Lenguajes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Contenido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Narración de historias mediante diversos lenguajes, en un ambiente donde niñas y niños participen y se apropien de la cultura, a través de diferentes textos.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PDA relacionado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Lectura con apoyo y narración con secuencia lógica de textos literarios, recurriendo también a distintos lenguajes.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Propósito general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Que las niñas y los niños comprendan y reconstruyan la secuencia básica de un cuento, identificando personajes, una situación o problema relevante y la manera en que concluye la historia.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Duración estimada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30 minutos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96"/>
        <w:gridCol w:w="11808"/>
      </w:tblGrid>
      <w:tr>
        <w:trPr>
          <w:cantSplit/>
        </w:trPr>
        <w:tc>
          <w:tcPr>
            <w:tcW w:type="dxa" w:w="7697"/>
            <w:shd w:fill="E8F7F5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/>
                <w:color w:val="0B4A6F"/>
                <w:sz w:val="22"/>
              </w:rPr>
              <w:t>Organización</w:t>
            </w:r>
          </w:p>
        </w:tc>
        <w:tc>
          <w:tcPr>
            <w:tcW w:type="dxa" w:w="7697"/>
            <w:shd w:fill="FFFFFF"/>
            <w:tcBorders>
              <w:bottom w:val="single" w:sz="4" w:color="D9E3E8"/>
            </w:tcBorders>
            <w:vAlign w:val="center"/>
          </w:tcPr>
          <w:p>
            <w:r>
              <w:rPr>
                <w:rFonts w:ascii="Aptos" w:hAnsi="Aptos"/>
                <w:b w:val="0"/>
                <w:sz w:val="22"/>
              </w:rPr>
              <w:t>Trabajo con el grupo completo y opciones de participación individual durante el cierre.</w:t>
            </w:r>
          </w:p>
        </w:tc>
      </w:tr>
    </w:tbl>
    <w:p>
      <w:pPr>
        <w:pStyle w:val="NELHUAH2"/>
      </w:pPr>
      <w:r>
        <w:t>Objetivos específicos</w:t>
      </w:r>
    </w:p>
    <w:p>
      <w:pPr>
        <w:pStyle w:val="ListBullet"/>
      </w:pPr>
      <w:r>
        <w:rPr>
          <w:rFonts w:ascii="Aptos" w:hAnsi="Aptos"/>
          <w:b w:val="0"/>
          <w:sz w:val="22"/>
        </w:rPr>
        <w:t>Identificar algunos personajes del cuento.</w:t>
      </w:r>
    </w:p>
    <w:p>
      <w:pPr>
        <w:pStyle w:val="ListBullet"/>
      </w:pPr>
      <w:r>
        <w:rPr>
          <w:rFonts w:ascii="Aptos" w:hAnsi="Aptos"/>
          <w:b w:val="0"/>
          <w:sz w:val="22"/>
        </w:rPr>
        <w:t>Reconocer la situación o problema principal.</w:t>
      </w:r>
    </w:p>
    <w:p>
      <w:pPr>
        <w:pStyle w:val="ListBullet"/>
      </w:pPr>
      <w:r>
        <w:rPr>
          <w:rFonts w:ascii="Aptos" w:hAnsi="Aptos"/>
          <w:b w:val="0"/>
          <w:sz w:val="22"/>
        </w:rPr>
        <w:t>Reconocer cómo termina la historia.</w:t>
      </w:r>
    </w:p>
    <w:p>
      <w:pPr>
        <w:pStyle w:val="ListBullet"/>
      </w:pPr>
      <w:r>
        <w:rPr>
          <w:rFonts w:ascii="Aptos" w:hAnsi="Aptos"/>
          <w:b w:val="0"/>
          <w:sz w:val="22"/>
        </w:rPr>
        <w:t>Comunicar lo comprendido sobre la narración utilizando distintas formas de respuesta.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66"/>
        <w:gridCol w:w="2566"/>
        <w:gridCol w:w="2566"/>
        <w:gridCol w:w="2566"/>
        <w:gridCol w:w="2566"/>
        <w:gridCol w:w="2566"/>
      </w:tblGrid>
      <w:tr>
        <w:trPr>
          <w:cantSplit/>
        </w:trPr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Momento</w:t>
            </w:r>
          </w:p>
        </w:tc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Actividades de enseñanza y aprendizaje</w:t>
            </w:r>
          </w:p>
        </w:tc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Recursos / apoyos</w:t>
            </w:r>
          </w:p>
        </w:tc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Tiempo</w:t>
            </w:r>
          </w:p>
        </w:tc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Evidencia</w:t>
            </w:r>
          </w:p>
        </w:tc>
        <w:tc>
          <w:tcPr>
            <w:tcW w:type="dxa" w:w="2566"/>
            <w:shd w:fill="1A9C9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DUA visible</w:t>
            </w:r>
          </w:p>
        </w:tc>
      </w:tr>
      <w:tr>
        <w:trPr>
          <w:cantSplit/>
        </w:trPr>
        <w:tc>
          <w:tcPr>
            <w:tcW w:type="dxa" w:w="2566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Inicio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La docente presenta oral y visualmente el propósito y anticipa la secuencia: escuchar y observar el cuento → identificar personajes, problema y final → elegir una forma de responder. La secuencia permanece visible.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Cuento + secuencia visual de la actividad.</w:t>
              <w:br/>
              <w:t>Ver Recurso 1.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5 min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Identifica qué hará primero y qué ocurrirá después.</w:t>
            </w:r>
          </w:p>
        </w:tc>
        <w:tc>
          <w:tcPr>
            <w:tcW w:type="dxa" w:w="2566"/>
            <w:shd w:fill="E8F7F5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Representación</w:t>
              <w:br/>
              <w:t>Compromiso</w:t>
            </w:r>
          </w:p>
        </w:tc>
      </w:tr>
      <w:tr>
        <w:trPr>
          <w:cantSplit/>
        </w:trPr>
        <w:tc>
          <w:tcPr>
            <w:tcW w:type="dxa" w:w="2566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Desarrollo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La docente lee en voz alta y acompaña los momentos principales con apoyos visuales. Mantiene visibles las palabras PERSONAJES – PROBLEMA – FINAL y las preguntas principales. Permite responder oralmente, señalar, elegir u ordenar imágenes.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Cuento + tarjetas de palabras clave.</w:t>
              <w:br/>
              <w:t>Ver Recurso 2.</w:t>
              <w:br/>
              <w:t>Opciones para responder.</w:t>
              <w:br/>
              <w:t>Ver Recurso 3.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15 min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Identificación y comunicación de elementos del cuento mediante distintas formas de participación.</w:t>
            </w:r>
          </w:p>
        </w:tc>
        <w:tc>
          <w:tcPr>
            <w:tcW w:type="dxa" w:w="2566"/>
            <w:shd w:fill="E8F7F5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Representación</w:t>
              <w:br/>
              <w:t>Compromiso</w:t>
              <w:br/>
              <w:t>Acción y expresión</w:t>
            </w:r>
          </w:p>
        </w:tc>
      </w:tr>
      <w:tr>
        <w:trPr>
          <w:cantSplit/>
        </w:trPr>
        <w:tc>
          <w:tcPr>
            <w:tcW w:type="dxa" w:w="2566"/>
            <w:shd w:fill="EEF6FB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Cierre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Cada estudiante demuestra lo comprendido sobre personajes, problema y final mediante escritura emergente, dibujo, selección u ordenamiento de imágenes, señalamiento o respuesta oral, siempre que la forma elegida permita evidenciar el aprendizaje.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Organizador de comprensión + lápiz, colores e imágenes cuando se requieran.</w:t>
              <w:br/>
              <w:t>Ver Recurso 4.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10 min</w:t>
            </w:r>
          </w:p>
        </w:tc>
        <w:tc>
          <w:tcPr>
            <w:tcW w:type="dxa" w:w="2566"/>
            <w:vAlign w:val="top"/>
          </w:tcPr>
          <w:p>
            <w:r>
              <w:rPr>
                <w:rFonts w:ascii="Aptos" w:hAnsi="Aptos"/>
                <w:b w:val="0"/>
                <w:color w:val="1F2D3D"/>
                <w:sz w:val="19"/>
              </w:rPr>
              <w:t>Evidencia de comprensión mediante una forma de respuesta pertinente al propósito.</w:t>
            </w:r>
          </w:p>
        </w:tc>
        <w:tc>
          <w:tcPr>
            <w:tcW w:type="dxa" w:w="2566"/>
            <w:shd w:fill="E8F7F5"/>
            <w:vAlign w:val="top"/>
          </w:tcPr>
          <w:p>
            <w:r>
              <w:rPr>
                <w:rFonts w:ascii="Aptos" w:hAnsi="Aptos"/>
                <w:b/>
                <w:color w:val="0B4A6F"/>
                <w:sz w:val="19"/>
              </w:rPr>
              <w:t>Acción y expresión</w:t>
            </w:r>
          </w:p>
        </w:tc>
      </w:tr>
    </w:tbl>
    <w:p>
      <w:pPr>
        <w:pStyle w:val="NELHUAH2"/>
      </w:pPr>
      <w:r>
        <w:t>Evaluación</w:t>
      </w:r>
    </w:p>
    <w:p>
      <w:r>
        <w:rPr>
          <w:rFonts w:ascii="Aptos" w:hAnsi="Aptos"/>
          <w:b/>
          <w:color w:val="0B4A6F"/>
          <w:sz w:val="22"/>
        </w:rPr>
        <w:t xml:space="preserve">Criterios de observación: </w:t>
      </w:r>
      <w:r>
        <w:rPr>
          <w:rFonts w:ascii="Aptos" w:hAnsi="Aptos"/>
          <w:b w:val="0"/>
          <w:sz w:val="22"/>
        </w:rPr>
        <w:t>identifica al menos un personaje; reconoce la situación o problema principal; reconoce o comunica cómo concluye el cuento.</w:t>
      </w:r>
    </w:p>
    <w:p>
      <w:r>
        <w:rPr>
          <w:rFonts w:ascii="Aptos" w:hAnsi="Aptos"/>
          <w:b/>
          <w:color w:val="0B4A6F"/>
          <w:sz w:val="22"/>
        </w:rPr>
        <w:t xml:space="preserve">Instrumento sugerido: </w:t>
      </w:r>
      <w:r>
        <w:rPr>
          <w:rFonts w:ascii="Aptos" w:hAnsi="Aptos"/>
          <w:b w:val="0"/>
          <w:sz w:val="22"/>
        </w:rPr>
        <w:t>lista de cotejo o registro breve de observación.</w:t>
      </w:r>
    </w:p>
    <w:p>
      <w:r>
        <w:rPr>
          <w:rFonts w:ascii="Aptos" w:hAnsi="Aptos"/>
          <w:b/>
          <w:color w:val="1A9C9C"/>
          <w:sz w:val="22"/>
        </w:rPr>
        <w:t xml:space="preserve">Criterio DUA para la evaluación: </w:t>
      </w:r>
      <w:r>
        <w:rPr>
          <w:rFonts w:ascii="Aptos" w:hAnsi="Aptos"/>
          <w:b w:val="0"/>
          <w:sz w:val="22"/>
        </w:rPr>
        <w:t>la forma de respuesta no se confunde con el aprendizaje que se pretende valorar. Si el propósito es comprender la historia, pueden aceptarse distintas formas de demostrar esa comprensión.</w:t>
      </w:r>
    </w:p>
    <w:p>
      <w:pPr>
        <w:pStyle w:val="NELHUAH2"/>
      </w:pPr>
      <w:r>
        <w:t>¿Qué cambió respecto de la planeación inicial?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697"/>
        <w:gridCol w:w="7697"/>
      </w:tblGrid>
      <w:tr>
        <w:trPr>
          <w:cantSplit/>
        </w:trPr>
        <w:tc>
          <w:tcPr>
            <w:tcW w:type="dxa" w:w="7697"/>
            <w:shd w:fill="E8F7F5"/>
          </w:tcPr>
          <w:p>
            <w:r>
              <w:rPr>
                <w:rFonts w:ascii="Aptos" w:hAnsi="Aptos"/>
                <w:b/>
                <w:color w:val="0B4A6F"/>
                <w:sz w:val="24"/>
              </w:rPr>
              <w:t>Se mantuvo</w:t>
            </w:r>
          </w:p>
          <w:p>
            <w:r>
              <w:rPr>
                <w:rFonts w:ascii="Aptos" w:hAnsi="Aptos"/>
                <w:b w:val="0"/>
                <w:sz w:val="21"/>
              </w:rPr>
              <w:t>• Contenido y PDA.</w:t>
            </w:r>
          </w:p>
          <w:p>
            <w:r>
              <w:rPr>
                <w:rFonts w:ascii="Aptos" w:hAnsi="Aptos"/>
                <w:b w:val="0"/>
                <w:sz w:val="21"/>
              </w:rPr>
              <w:t>• Propósito general.</w:t>
            </w:r>
          </w:p>
          <w:p>
            <w:r>
              <w:rPr>
                <w:rFonts w:ascii="Aptos" w:hAnsi="Aptos"/>
                <w:b w:val="0"/>
                <w:sz w:val="21"/>
              </w:rPr>
              <w:t>• Duración aproximada.</w:t>
            </w:r>
          </w:p>
          <w:p>
            <w:r>
              <w:rPr>
                <w:rFonts w:ascii="Aptos" w:hAnsi="Aptos"/>
                <w:b w:val="0"/>
                <w:sz w:val="21"/>
              </w:rPr>
              <w:t>• Criterios centrales de evaluación.</w:t>
            </w:r>
          </w:p>
        </w:tc>
        <w:tc>
          <w:tcPr>
            <w:tcW w:type="dxa" w:w="7697"/>
            <w:shd w:fill="FFF7E5"/>
          </w:tcPr>
          <w:p>
            <w:r>
              <w:rPr>
                <w:rFonts w:ascii="Aptos" w:hAnsi="Aptos"/>
                <w:b/>
                <w:color w:val="0B4A6F"/>
                <w:sz w:val="24"/>
              </w:rPr>
              <w:t>Se modificó</w:t>
            </w:r>
          </w:p>
          <w:p>
            <w:r>
              <w:rPr>
                <w:rFonts w:ascii="Aptos" w:hAnsi="Aptos"/>
                <w:b w:val="0"/>
                <w:sz w:val="21"/>
              </w:rPr>
              <w:t>• Forma de presentar la información.</w:t>
            </w:r>
          </w:p>
          <w:p>
            <w:r>
              <w:rPr>
                <w:rFonts w:ascii="Aptos" w:hAnsi="Aptos"/>
                <w:b w:val="0"/>
                <w:sz w:val="21"/>
              </w:rPr>
              <w:t>• Permanencia de apoyos durante la actividad.</w:t>
            </w:r>
          </w:p>
          <w:p>
            <w:r>
              <w:rPr>
                <w:rFonts w:ascii="Aptos" w:hAnsi="Aptos"/>
                <w:b w:val="0"/>
                <w:sz w:val="21"/>
              </w:rPr>
              <w:t>• Opciones para participar y responder.</w:t>
            </w:r>
          </w:p>
          <w:p>
            <w:r>
              <w:rPr>
                <w:rFonts w:ascii="Aptos" w:hAnsi="Aptos"/>
                <w:b w:val="0"/>
                <w:sz w:val="21"/>
              </w:rPr>
              <w:t>• Anticipación de posibles barreras.</w:t>
            </w:r>
          </w:p>
          <w:p>
            <w:r>
              <w:rPr>
                <w:rFonts w:ascii="Aptos" w:hAnsi="Aptos"/>
                <w:b w:val="0"/>
                <w:sz w:val="21"/>
              </w:rPr>
              <w:t>• Uso de recursos como apoyos al diseño.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5394"/>
      </w:tblGrid>
      <w:tr>
        <w:trPr>
          <w:cantSplit/>
        </w:trPr>
        <w:tc>
          <w:tcPr>
            <w:tcW w:type="dxa" w:w="15394"/>
            <w:shd w:fill="0B4A6F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4"/>
              </w:rPr>
              <w:t>El DUA no cambió lo que se esperaba que aprendieran. Cambió las opciones previstas para acceder a la información, participar y demostrar el aprendizaje.</w:t>
            </w:r>
          </w:p>
        </w:tc>
      </w:tr>
    </w:tbl>
    <w:p>
      <w:r>
        <w:rPr>
          <w:rFonts w:ascii="Aptos" w:hAnsi="Aptos"/>
          <w:b/>
          <w:color w:val="0B4A6F"/>
          <w:sz w:val="21"/>
        </w:rPr>
        <w:t xml:space="preserve">Importante: </w:t>
      </w:r>
      <w:r>
        <w:rPr>
          <w:rFonts w:ascii="Aptos" w:hAnsi="Aptos"/>
          <w:b w:val="0"/>
          <w:sz w:val="21"/>
        </w:rPr>
        <w:t>Ofrecer opciones no significa que todos deban utilizar todos los apoyos. La planeación anticipa alternativas que el docente puede organizar según las características de la actividad y del grupo.</w:t>
      </w:r>
    </w:p>
    <w:sectPr w:rsidR="00FC693F" w:rsidRPr="0006063C" w:rsidSect="00034616">
      <w:footerReference w:type="default" r:id="rId9"/>
      <w:pgSz w:w="16834" w:h="11909" w:orient="landscape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07078"/>
        <w:sz w:val="18"/>
      </w:rPr>
      <w:t>El Profe Nico | NELHUA · Psicología Educativa, TEA y Desarrollo Infantil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D3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ELHUATitle">
    <w:name w:val="NELHUA Title"/>
    <w:rPr>
      <w:rFonts w:ascii="Aptos Display" w:hAnsi="Aptos Display"/>
      <w:b/>
      <w:color w:val="0B4A6F"/>
      <w:sz w:val="48"/>
    </w:rPr>
  </w:style>
  <w:style w:type="paragraph" w:customStyle="1" w:styleId="NELHUAH1">
    <w:name w:val="NELHUA H1"/>
    <w:rPr>
      <w:rFonts w:ascii="Aptos Display" w:hAnsi="Aptos Display"/>
      <w:b/>
      <w:color w:val="0B4A6F"/>
      <w:sz w:val="36"/>
    </w:rPr>
  </w:style>
  <w:style w:type="paragraph" w:customStyle="1" w:styleId="NELHUAH2">
    <w:name w:val="NELHUA H2"/>
    <w:rPr>
      <w:rFonts w:ascii="Aptos Display" w:hAnsi="Aptos Display"/>
      <w:b/>
      <w:color w:val="1A9C9C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